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C4" w:rsidRPr="00332AC4" w:rsidRDefault="00332AC4" w:rsidP="00332AC4">
      <w:pPr>
        <w:rPr>
          <w:rFonts w:eastAsia="Calibri" w:cs="Times New Roman"/>
          <w:b/>
          <w:color w:val="auto"/>
        </w:rPr>
      </w:pPr>
      <w:r w:rsidRPr="00332AC4">
        <w:rPr>
          <w:rFonts w:eastAsia="Calibri" w:cs="Times New Roman"/>
          <w:b/>
          <w:color w:val="auto"/>
        </w:rPr>
        <w:t>588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p w:rsidR="00332AC4" w:rsidRPr="00332AC4" w:rsidRDefault="00332AC4" w:rsidP="00332AC4">
      <w:pPr>
        <w:jc w:val="center"/>
        <w:rPr>
          <w:rFonts w:eastAsia="Calibri" w:cs="Times New Roman"/>
          <w:b/>
          <w:color w:val="auto"/>
        </w:rPr>
      </w:pPr>
      <w:r w:rsidRPr="00332AC4">
        <w:rPr>
          <w:rFonts w:eastAsia="Calibri" w:cs="Times New Roman"/>
          <w:b/>
          <w:color w:val="auto"/>
        </w:rPr>
        <w:t>Z A K O N</w:t>
      </w:r>
      <w:r w:rsidRPr="00332AC4">
        <w:rPr>
          <w:rFonts w:eastAsia="Calibri" w:cs="Times New Roman"/>
          <w:b/>
          <w:color w:val="auto"/>
        </w:rPr>
        <w:br/>
        <w:t>O IZMJENAMA I DOPUNAMA ZAKONA</w:t>
      </w:r>
      <w:r w:rsidRPr="00332AC4">
        <w:rPr>
          <w:rFonts w:eastAsia="Calibri" w:cs="Times New Roman"/>
          <w:b/>
          <w:color w:val="auto"/>
        </w:rPr>
        <w:br/>
        <w:t>O PREDŠKOLSKOM ODGOJU I OBRAZOVANJU</w:t>
      </w:r>
      <w:r>
        <w:rPr>
          <w:rStyle w:val="Referencafusnote"/>
          <w:rFonts w:eastAsia="Calibri" w:cs="Times New Roman"/>
          <w:b/>
          <w:color w:val="auto"/>
        </w:rPr>
        <w:footnoteReference w:id="2"/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p w:rsidR="00332AC4" w:rsidRPr="00332AC4" w:rsidRDefault="00332AC4" w:rsidP="00332AC4">
      <w:pPr>
        <w:jc w:val="center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>Članak 1.</w:t>
      </w:r>
    </w:p>
    <w:p w:rsidR="00332AC4" w:rsidRPr="00332AC4" w:rsidRDefault="00332AC4" w:rsidP="00332AC4">
      <w:pPr>
        <w:jc w:val="center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b/>
          <w:color w:val="auto"/>
        </w:rPr>
        <w:t>(Izmjena i dopuna)</w:t>
      </w:r>
    </w:p>
    <w:p w:rsidR="00332AC4" w:rsidRPr="00332AC4" w:rsidRDefault="00332AC4" w:rsidP="00332AC4">
      <w:pPr>
        <w:ind w:firstLine="454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 xml:space="preserve">U </w:t>
      </w:r>
      <w:r w:rsidRPr="00332AC4">
        <w:rPr>
          <w:rFonts w:eastAsia="Calibri" w:cs="Times New Roman"/>
          <w:bCs/>
          <w:color w:val="auto"/>
        </w:rPr>
        <w:t xml:space="preserve">Zakonu o predškolskom odgoju i obrazovanju („Službene novine Kantona Središnja Bosna“, broj 10/17; u daljnjem tekstu: Zakon) </w:t>
      </w:r>
      <w:r w:rsidRPr="00332AC4">
        <w:rPr>
          <w:rFonts w:eastAsia="Calibri" w:cs="Times New Roman"/>
          <w:color w:val="auto"/>
        </w:rPr>
        <w:t>stavak (2) članka 25. briše se, a stavci (3) i (4) postaju stavci (2) i (3) te se istovremeno mijenjaju i glase:</w:t>
      </w:r>
    </w:p>
    <w:p w:rsidR="00332AC4" w:rsidRPr="00332AC4" w:rsidRDefault="00332AC4" w:rsidP="00332AC4">
      <w:pPr>
        <w:ind w:firstLine="454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>„(2) Ako Ministarstvo utvrdi nedostatke u aktu o osnivanju, obvezano je obavijestiti osnivača o obvezi otklanjanja nedostataka u roku od 15 dana od dana primitka obavijesti.</w:t>
      </w:r>
    </w:p>
    <w:p w:rsidR="00332AC4" w:rsidRPr="00332AC4" w:rsidRDefault="00332AC4" w:rsidP="00332AC4">
      <w:pPr>
        <w:ind w:firstLine="454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>(3) Ako osnivač ne otkloni nedostatke u roku iz stavka (2) ovoga članka, smatrat će se da je odustao od zahtjeva.“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p w:rsidR="00332AC4" w:rsidRPr="00332AC4" w:rsidRDefault="00332AC4" w:rsidP="00332AC4">
      <w:pPr>
        <w:jc w:val="center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>Članak 2.</w:t>
      </w:r>
    </w:p>
    <w:p w:rsidR="00332AC4" w:rsidRPr="00332AC4" w:rsidRDefault="00332AC4" w:rsidP="00332AC4">
      <w:pPr>
        <w:jc w:val="center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b/>
          <w:color w:val="auto"/>
        </w:rPr>
        <w:t>(Dopuna)</w:t>
      </w:r>
    </w:p>
    <w:p w:rsidR="00332AC4" w:rsidRPr="00332AC4" w:rsidRDefault="00332AC4" w:rsidP="00332AC4">
      <w:pPr>
        <w:ind w:firstLine="454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>U članku 32. Zakona iza stavka (3) dodaje se stavak (4) koji glasi:</w:t>
      </w:r>
    </w:p>
    <w:p w:rsidR="00332AC4" w:rsidRPr="00332AC4" w:rsidRDefault="00332AC4" w:rsidP="00332AC4">
      <w:pPr>
        <w:ind w:firstLine="454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bCs/>
          <w:color w:val="auto"/>
        </w:rPr>
        <w:t xml:space="preserve">„(4) Radi igre i aktivnog druženja djece može se registrirati dječja igraonica (u daljnjem tekstu: igraonica) u poslovnom ili stambenom prostoru. </w:t>
      </w:r>
      <w:r w:rsidRPr="00332AC4">
        <w:rPr>
          <w:rFonts w:eastAsia="Calibri" w:cs="Times New Roman"/>
          <w:color w:val="auto"/>
        </w:rPr>
        <w:t>Igraonica nema status predškolske ustanove.</w:t>
      </w:r>
      <w:r w:rsidRPr="00332AC4">
        <w:rPr>
          <w:rFonts w:eastAsia="Calibri" w:cs="Times New Roman"/>
          <w:bCs/>
          <w:color w:val="auto"/>
        </w:rPr>
        <w:t>“</w:t>
      </w:r>
    </w:p>
    <w:p w:rsidR="00332AC4" w:rsidRPr="00332AC4" w:rsidRDefault="00332AC4" w:rsidP="00332AC4">
      <w:pPr>
        <w:rPr>
          <w:rFonts w:eastAsia="Calibri" w:cs="Times New Roman"/>
          <w:bCs/>
          <w:color w:val="auto"/>
        </w:rPr>
      </w:pPr>
    </w:p>
    <w:p w:rsidR="00332AC4" w:rsidRPr="00332AC4" w:rsidRDefault="00332AC4" w:rsidP="00332AC4">
      <w:pPr>
        <w:jc w:val="center"/>
        <w:rPr>
          <w:rFonts w:eastAsia="Calibri" w:cs="Times New Roman"/>
          <w:bCs/>
          <w:color w:val="auto"/>
        </w:rPr>
      </w:pPr>
      <w:r w:rsidRPr="00332AC4">
        <w:rPr>
          <w:rFonts w:eastAsia="Calibri" w:cs="Times New Roman"/>
          <w:bCs/>
          <w:color w:val="auto"/>
        </w:rPr>
        <w:t>Članak 3.</w:t>
      </w:r>
    </w:p>
    <w:p w:rsidR="00332AC4" w:rsidRPr="00332AC4" w:rsidRDefault="00332AC4" w:rsidP="00332AC4">
      <w:pPr>
        <w:jc w:val="center"/>
        <w:rPr>
          <w:rFonts w:eastAsia="Calibri" w:cs="Times New Roman"/>
          <w:b/>
          <w:color w:val="auto"/>
        </w:rPr>
      </w:pPr>
      <w:r w:rsidRPr="00332AC4">
        <w:rPr>
          <w:rFonts w:eastAsia="Calibri" w:cs="Times New Roman"/>
          <w:b/>
          <w:color w:val="auto"/>
        </w:rPr>
        <w:t>(Dopuna)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Iza članka 32. Zakona dodaje se članak 32a. koji glasi:</w:t>
      </w:r>
    </w:p>
    <w:p w:rsidR="00332AC4" w:rsidRPr="00332AC4" w:rsidRDefault="00332AC4" w:rsidP="00332AC4">
      <w:pPr>
        <w:jc w:val="center"/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>„Članak32a.</w:t>
      </w:r>
    </w:p>
    <w:p w:rsidR="00332AC4" w:rsidRPr="00332AC4" w:rsidRDefault="00332AC4" w:rsidP="00332AC4">
      <w:pPr>
        <w:jc w:val="center"/>
        <w:rPr>
          <w:rFonts w:eastAsia="Calibri" w:cs="Times New Roman"/>
          <w:b/>
          <w:color w:val="auto"/>
        </w:rPr>
      </w:pPr>
      <w:r w:rsidRPr="00332AC4">
        <w:rPr>
          <w:rFonts w:eastAsia="Calibri" w:cs="Times New Roman"/>
          <w:b/>
          <w:color w:val="auto"/>
        </w:rPr>
        <w:t>(Igraonica)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(1) Igraonica je obvezana zadovoljavati uvjete u pogledu opreme, prostora i zaposlenih osoba, sukladno standardima i normativima za obavljanje djelatnosti predškolskoga odgoja i obrazovanja.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(2) Igraonica može poslovati u okviru gospodarskoga društva, udruge ili kao samostalni poduzetnik.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(3) Igraonica se registrira na temelju propisa kojima je uređena registracija gospodarskih društava odnosno samostalnih poduzetnika.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(4) Gospodarsko društvo odnosno samostalni poduzetnik može obavljati djelatnost igraonice u sjedištu ili u svojoj ustrojbenoj jedinici ako je pri mjerodavnom tijelu registrirao tu igraonicu sukladno klasifikaciji djelatnosti.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(5) Gospodarsko društvo odnosno samostalni poduzetnik koji u sjedištu ili ustrojbenoj jedinici obavlja djelatnosti različite od djelatnosti igraonice, a na tim mjestima namjerava početi obavljati djelatnost igraonice, nije obvezan registrirati igraonicu kao posebnu ustrojbenu jedinicu.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(6) U slučaju iz stavka (5) ovoga članka gospodarsko društvo odnosno samostalni poduzetnik obvezan je u rješenju o registraciji imati upisanu djelatnost igraonice sukladno klasifikaciji djelatnosti.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(7) Ako gospodarsko društvo odnosno samostalni poduzetnik namjerava početi obavljati djelatnost igraonice izvan sjedišta ili postojeće ustrojbene jedinice, obvezan je registrirati igraonicu kao posebnu ustrojbenu jedinicu.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(8) U okviru igraonice mogu se ostvarivati programi definirani točkama b), c) i d) stavka (1) članka 35. Zakona, uz prethodnu suglasnost Ministarstva.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(9) Nakon što registrira igraonicu sukladno stavku (4) ovoga članka, gospodarsko društvo odnosno samostalni poduzetnik obvezan je dostaviti Ministarstvu rješenje o upisu u sudski registar (gospodarsko društvo) odnosno rješenje o registraciji poduzetnika (samostalni poduzetnik).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(10) Ministarstvo je dužno, a posredovanjem prosvjetne inspekcije, u roku od 30 dana od dostave dokumentacije iz stavka (9) ovoga članka kontrolirati zadovoljenost uvjeta za rad igraonice sukladno standardima i normativima za obavljanje djelatnosti predškolskoga odgoja i obrazovanja.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(11) Igraonicu koja zadovoljava uvjete Ministarstvo će upisati u Registar igraonica, u koji se osim općih podataka unose i podatci o vrstama programa iz stavka (8) ovoga članka ako se ti programi ostvaruju.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(12) Ako se u inspekcijskome pregledu ustanovi da nisu zadovoljeni uvjeti za rad igraonice, prosvjetni inspektor donosi rješenje kojim se nalaže otklanjanje nepravilnosti u roku od 30 dana.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  <w:r w:rsidRPr="00332AC4">
        <w:rPr>
          <w:rFonts w:eastAsia="Calibri" w:cs="Times New Roman"/>
          <w:color w:val="auto"/>
        </w:rPr>
        <w:tab/>
        <w:t>(13) Ako se nepravilnosti iz stavka (12) ovoga članka ne otklone u roku od 30 dana, prosvjetni inspektor donosi rješenje o zabrani rada.“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p w:rsidR="00332AC4" w:rsidRPr="00332AC4" w:rsidRDefault="00332AC4" w:rsidP="00332AC4">
      <w:pPr>
        <w:jc w:val="center"/>
        <w:rPr>
          <w:rFonts w:eastAsia="Calibri" w:cs="Times New Roman"/>
          <w:bCs/>
          <w:color w:val="auto"/>
        </w:rPr>
      </w:pPr>
      <w:r w:rsidRPr="00332AC4">
        <w:rPr>
          <w:rFonts w:eastAsia="Calibri" w:cs="Times New Roman"/>
          <w:bCs/>
          <w:color w:val="auto"/>
        </w:rPr>
        <w:t>Članak 4.</w:t>
      </w:r>
    </w:p>
    <w:p w:rsidR="00332AC4" w:rsidRPr="00332AC4" w:rsidRDefault="00332AC4" w:rsidP="00332AC4">
      <w:pPr>
        <w:jc w:val="center"/>
        <w:rPr>
          <w:rFonts w:eastAsia="Calibri" w:cs="Times New Roman"/>
          <w:b/>
          <w:color w:val="auto"/>
        </w:rPr>
      </w:pPr>
      <w:r w:rsidRPr="00332AC4">
        <w:rPr>
          <w:rFonts w:eastAsia="Calibri" w:cs="Times New Roman"/>
          <w:b/>
          <w:color w:val="auto"/>
        </w:rPr>
        <w:t>(Stupanje na snagu)</w:t>
      </w:r>
    </w:p>
    <w:p w:rsidR="00332AC4" w:rsidRPr="00332AC4" w:rsidRDefault="00332AC4" w:rsidP="00332AC4">
      <w:pPr>
        <w:rPr>
          <w:rFonts w:eastAsia="Calibri" w:cs="Times New Roman"/>
          <w:b/>
          <w:color w:val="auto"/>
        </w:rPr>
      </w:pPr>
      <w:r w:rsidRPr="00332AC4">
        <w:rPr>
          <w:rFonts w:eastAsia="Calibri" w:cs="Times New Roman"/>
          <w:color w:val="auto"/>
        </w:rPr>
        <w:tab/>
        <w:t>Ovaj Zakon stupa na snagu osmoga dana od dana objave u „Službenim novinama Kantona Središnja Bosna“.</w:t>
      </w: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tbl>
      <w:tblPr>
        <w:tblW w:w="5046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3345"/>
      </w:tblGrid>
      <w:tr w:rsidR="00332AC4" w:rsidRPr="00332AC4" w:rsidTr="0031460E">
        <w:tc>
          <w:tcPr>
            <w:tcW w:w="1701" w:type="dxa"/>
            <w:vAlign w:val="bottom"/>
          </w:tcPr>
          <w:p w:rsidR="00332AC4" w:rsidRPr="00332AC4" w:rsidRDefault="00332AC4" w:rsidP="00332AC4">
            <w:pPr>
              <w:jc w:val="center"/>
              <w:rPr>
                <w:rFonts w:eastAsia="Calibri" w:cs="Times New Roman"/>
                <w:bCs/>
                <w:color w:val="auto"/>
              </w:rPr>
            </w:pPr>
            <w:r w:rsidRPr="00332AC4">
              <w:rPr>
                <w:rFonts w:eastAsia="Calibri" w:cs="Times New Roman"/>
                <w:bCs/>
                <w:color w:val="auto"/>
              </w:rPr>
              <w:t>Broj: 01-02-1034/21</w:t>
            </w:r>
            <w:r w:rsidRPr="00332AC4">
              <w:rPr>
                <w:rFonts w:eastAsia="Calibri" w:cs="Times New Roman"/>
                <w:bCs/>
                <w:color w:val="auto"/>
              </w:rPr>
              <w:br/>
              <w:t>16. studenoga 2021.</w:t>
            </w:r>
            <w:r w:rsidRPr="00332AC4">
              <w:rPr>
                <w:rFonts w:eastAsia="Calibri" w:cs="Times New Roman"/>
                <w:bCs/>
                <w:color w:val="auto"/>
              </w:rPr>
              <w:br/>
              <w:t>Travnik</w:t>
            </w:r>
          </w:p>
        </w:tc>
        <w:tc>
          <w:tcPr>
            <w:tcW w:w="3345" w:type="dxa"/>
            <w:vAlign w:val="bottom"/>
          </w:tcPr>
          <w:p w:rsidR="00332AC4" w:rsidRPr="00332AC4" w:rsidRDefault="00332AC4" w:rsidP="00332AC4">
            <w:pPr>
              <w:jc w:val="center"/>
              <w:rPr>
                <w:rFonts w:eastAsia="Calibri" w:cs="Times New Roman"/>
                <w:bCs/>
                <w:color w:val="auto"/>
              </w:rPr>
            </w:pPr>
            <w:r w:rsidRPr="00332AC4">
              <w:rPr>
                <w:rFonts w:eastAsia="Calibri" w:cs="Times New Roman"/>
                <w:bCs/>
                <w:color w:val="auto"/>
              </w:rPr>
              <w:t>PREDSJEDATELJ SABORA</w:t>
            </w:r>
            <w:r w:rsidRPr="00332AC4">
              <w:rPr>
                <w:rFonts w:eastAsia="Calibri" w:cs="Times New Roman"/>
                <w:bCs/>
                <w:color w:val="auto"/>
              </w:rPr>
              <w:br/>
            </w:r>
            <w:r w:rsidRPr="00332AC4">
              <w:rPr>
                <w:rFonts w:eastAsia="Calibri" w:cs="Times New Roman"/>
                <w:bCs/>
                <w:color w:val="auto"/>
              </w:rPr>
              <w:br/>
              <w:t>Josip Kvasina, v. r.</w:t>
            </w:r>
          </w:p>
        </w:tc>
      </w:tr>
    </w:tbl>
    <w:p w:rsidR="00332AC4" w:rsidRDefault="00332AC4" w:rsidP="00332AC4">
      <w:pPr>
        <w:pBdr>
          <w:bottom w:val="dotted" w:sz="24" w:space="1" w:color="auto"/>
        </w:pBdr>
        <w:rPr>
          <w:rFonts w:eastAsia="Calibri" w:cs="Times New Roman"/>
          <w:color w:val="auto"/>
        </w:rPr>
      </w:pPr>
    </w:p>
    <w:p w:rsidR="00332AC4" w:rsidRPr="00332AC4" w:rsidRDefault="00332AC4" w:rsidP="00332AC4">
      <w:pPr>
        <w:rPr>
          <w:rFonts w:eastAsia="Calibri" w:cs="Times New Roman"/>
          <w:color w:val="auto"/>
        </w:rPr>
      </w:pPr>
    </w:p>
    <w:p w:rsidR="00C20913" w:rsidRDefault="00C20913"/>
    <w:sectPr w:rsidR="00C20913" w:rsidSect="00C20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114" w:rsidRDefault="00F90114" w:rsidP="00332AC4">
      <w:r>
        <w:separator/>
      </w:r>
    </w:p>
  </w:endnote>
  <w:endnote w:type="continuationSeparator" w:id="1">
    <w:p w:rsidR="00F90114" w:rsidRDefault="00F90114" w:rsidP="0033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114" w:rsidRDefault="00F90114" w:rsidP="00332AC4">
      <w:r>
        <w:separator/>
      </w:r>
    </w:p>
  </w:footnote>
  <w:footnote w:type="continuationSeparator" w:id="1">
    <w:p w:rsidR="00F90114" w:rsidRDefault="00F90114" w:rsidP="00332AC4">
      <w:r>
        <w:continuationSeparator/>
      </w:r>
    </w:p>
  </w:footnote>
  <w:footnote w:id="2">
    <w:p w:rsidR="00332AC4" w:rsidRDefault="00332AC4">
      <w:pPr>
        <w:pStyle w:val="Tekstfusnote"/>
      </w:pPr>
      <w:r>
        <w:rPr>
          <w:rStyle w:val="Referencafusnote"/>
        </w:rPr>
        <w:footnoteRef/>
      </w:r>
      <w:r>
        <w:t xml:space="preserve"> Objavljen u „Službenim novinama Kantona Središnja Bosna“, broj 11/21 od 23. sudenoga 2021.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5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AC4"/>
    <w:rsid w:val="00017775"/>
    <w:rsid w:val="000210F3"/>
    <w:rsid w:val="00022E70"/>
    <w:rsid w:val="00031200"/>
    <w:rsid w:val="000333E0"/>
    <w:rsid w:val="00047EF1"/>
    <w:rsid w:val="00047F71"/>
    <w:rsid w:val="000521DC"/>
    <w:rsid w:val="000545F3"/>
    <w:rsid w:val="00061E6C"/>
    <w:rsid w:val="00066BF8"/>
    <w:rsid w:val="00083523"/>
    <w:rsid w:val="00094C59"/>
    <w:rsid w:val="00097B98"/>
    <w:rsid w:val="000A5B2C"/>
    <w:rsid w:val="000B0014"/>
    <w:rsid w:val="000B3C98"/>
    <w:rsid w:val="000C4D91"/>
    <w:rsid w:val="000D05BE"/>
    <w:rsid w:val="000D25C7"/>
    <w:rsid w:val="000D2B35"/>
    <w:rsid w:val="000D4C69"/>
    <w:rsid w:val="000D5F9E"/>
    <w:rsid w:val="000E2DF7"/>
    <w:rsid w:val="000E3729"/>
    <w:rsid w:val="000E4291"/>
    <w:rsid w:val="000E5B78"/>
    <w:rsid w:val="000F1C32"/>
    <w:rsid w:val="00103FCA"/>
    <w:rsid w:val="0014690C"/>
    <w:rsid w:val="00153867"/>
    <w:rsid w:val="00160E54"/>
    <w:rsid w:val="00162508"/>
    <w:rsid w:val="00163717"/>
    <w:rsid w:val="00187723"/>
    <w:rsid w:val="001A0080"/>
    <w:rsid w:val="001A50C8"/>
    <w:rsid w:val="001A744B"/>
    <w:rsid w:val="001B0D69"/>
    <w:rsid w:val="001B5AE9"/>
    <w:rsid w:val="001B76A5"/>
    <w:rsid w:val="001C1241"/>
    <w:rsid w:val="001C7BB4"/>
    <w:rsid w:val="001D09B6"/>
    <w:rsid w:val="001F362F"/>
    <w:rsid w:val="0020519E"/>
    <w:rsid w:val="002234F2"/>
    <w:rsid w:val="00237CCC"/>
    <w:rsid w:val="00243C22"/>
    <w:rsid w:val="00245704"/>
    <w:rsid w:val="002659D9"/>
    <w:rsid w:val="00277468"/>
    <w:rsid w:val="002A2E46"/>
    <w:rsid w:val="002A4248"/>
    <w:rsid w:val="002B6133"/>
    <w:rsid w:val="002C4001"/>
    <w:rsid w:val="002C68D4"/>
    <w:rsid w:val="002E3B7B"/>
    <w:rsid w:val="002E64A3"/>
    <w:rsid w:val="002E6DF0"/>
    <w:rsid w:val="002F1393"/>
    <w:rsid w:val="00305667"/>
    <w:rsid w:val="00314733"/>
    <w:rsid w:val="00316886"/>
    <w:rsid w:val="00322711"/>
    <w:rsid w:val="00322E30"/>
    <w:rsid w:val="00332AC4"/>
    <w:rsid w:val="003409EA"/>
    <w:rsid w:val="003642D3"/>
    <w:rsid w:val="00367C3E"/>
    <w:rsid w:val="00367E86"/>
    <w:rsid w:val="003770D2"/>
    <w:rsid w:val="00384E45"/>
    <w:rsid w:val="00386CDE"/>
    <w:rsid w:val="0039336C"/>
    <w:rsid w:val="003A7729"/>
    <w:rsid w:val="003B055B"/>
    <w:rsid w:val="003B5B2B"/>
    <w:rsid w:val="003C5C7E"/>
    <w:rsid w:val="003C7910"/>
    <w:rsid w:val="003D69C3"/>
    <w:rsid w:val="003E1746"/>
    <w:rsid w:val="003E3E83"/>
    <w:rsid w:val="003E4742"/>
    <w:rsid w:val="003E5B53"/>
    <w:rsid w:val="003E744B"/>
    <w:rsid w:val="003F2FE3"/>
    <w:rsid w:val="00414188"/>
    <w:rsid w:val="004254CC"/>
    <w:rsid w:val="00425ADE"/>
    <w:rsid w:val="00440117"/>
    <w:rsid w:val="0044612B"/>
    <w:rsid w:val="00452437"/>
    <w:rsid w:val="004537F1"/>
    <w:rsid w:val="00472EB1"/>
    <w:rsid w:val="00474203"/>
    <w:rsid w:val="004A2EBE"/>
    <w:rsid w:val="004A56F2"/>
    <w:rsid w:val="004B12AE"/>
    <w:rsid w:val="004B2B97"/>
    <w:rsid w:val="004B7D15"/>
    <w:rsid w:val="004C75E9"/>
    <w:rsid w:val="004D068F"/>
    <w:rsid w:val="004E23D2"/>
    <w:rsid w:val="004F038C"/>
    <w:rsid w:val="00501381"/>
    <w:rsid w:val="00502598"/>
    <w:rsid w:val="00531732"/>
    <w:rsid w:val="0054035F"/>
    <w:rsid w:val="005417C5"/>
    <w:rsid w:val="00551B93"/>
    <w:rsid w:val="005572B9"/>
    <w:rsid w:val="0056565C"/>
    <w:rsid w:val="0056731B"/>
    <w:rsid w:val="005842EE"/>
    <w:rsid w:val="005939DA"/>
    <w:rsid w:val="005A0580"/>
    <w:rsid w:val="005A4BEE"/>
    <w:rsid w:val="005A578F"/>
    <w:rsid w:val="005C020A"/>
    <w:rsid w:val="005C4003"/>
    <w:rsid w:val="005C4793"/>
    <w:rsid w:val="005C48E9"/>
    <w:rsid w:val="005C4F2D"/>
    <w:rsid w:val="005D0FD6"/>
    <w:rsid w:val="005E0F16"/>
    <w:rsid w:val="005E16C7"/>
    <w:rsid w:val="005E6431"/>
    <w:rsid w:val="005F004C"/>
    <w:rsid w:val="005F019E"/>
    <w:rsid w:val="006104B7"/>
    <w:rsid w:val="00610820"/>
    <w:rsid w:val="00627A7C"/>
    <w:rsid w:val="00627B36"/>
    <w:rsid w:val="00636838"/>
    <w:rsid w:val="006546F0"/>
    <w:rsid w:val="00657ACB"/>
    <w:rsid w:val="006644B3"/>
    <w:rsid w:val="0066791A"/>
    <w:rsid w:val="00675F96"/>
    <w:rsid w:val="0067704A"/>
    <w:rsid w:val="006808C3"/>
    <w:rsid w:val="0069204C"/>
    <w:rsid w:val="006A0DA9"/>
    <w:rsid w:val="006A1021"/>
    <w:rsid w:val="006B1932"/>
    <w:rsid w:val="006D6B40"/>
    <w:rsid w:val="006D7030"/>
    <w:rsid w:val="006E3A2E"/>
    <w:rsid w:val="006E43D8"/>
    <w:rsid w:val="006E4EE4"/>
    <w:rsid w:val="006F0601"/>
    <w:rsid w:val="006F738C"/>
    <w:rsid w:val="0070628D"/>
    <w:rsid w:val="00721BE2"/>
    <w:rsid w:val="007267C5"/>
    <w:rsid w:val="0073224C"/>
    <w:rsid w:val="007761C4"/>
    <w:rsid w:val="00782571"/>
    <w:rsid w:val="00783D2A"/>
    <w:rsid w:val="007A20C9"/>
    <w:rsid w:val="007D2E3A"/>
    <w:rsid w:val="007D35E8"/>
    <w:rsid w:val="007F1E02"/>
    <w:rsid w:val="007F4529"/>
    <w:rsid w:val="007F5BB7"/>
    <w:rsid w:val="0080440E"/>
    <w:rsid w:val="00805DF4"/>
    <w:rsid w:val="00810023"/>
    <w:rsid w:val="008146B5"/>
    <w:rsid w:val="008368DC"/>
    <w:rsid w:val="00842778"/>
    <w:rsid w:val="00845535"/>
    <w:rsid w:val="00846D31"/>
    <w:rsid w:val="00846D5A"/>
    <w:rsid w:val="0085045B"/>
    <w:rsid w:val="008642EE"/>
    <w:rsid w:val="00866CA6"/>
    <w:rsid w:val="00866E9D"/>
    <w:rsid w:val="00876750"/>
    <w:rsid w:val="0088165F"/>
    <w:rsid w:val="008825D3"/>
    <w:rsid w:val="008861B7"/>
    <w:rsid w:val="00886A1A"/>
    <w:rsid w:val="00890AE8"/>
    <w:rsid w:val="0089296F"/>
    <w:rsid w:val="00897E2E"/>
    <w:rsid w:val="008B3B85"/>
    <w:rsid w:val="008B59A6"/>
    <w:rsid w:val="008D3F6D"/>
    <w:rsid w:val="008D41A5"/>
    <w:rsid w:val="008D6AAE"/>
    <w:rsid w:val="008F1914"/>
    <w:rsid w:val="008F4F30"/>
    <w:rsid w:val="00900DC2"/>
    <w:rsid w:val="0093510B"/>
    <w:rsid w:val="00942401"/>
    <w:rsid w:val="009654DD"/>
    <w:rsid w:val="00965EB7"/>
    <w:rsid w:val="0096639A"/>
    <w:rsid w:val="00997053"/>
    <w:rsid w:val="009A4A9E"/>
    <w:rsid w:val="009B68BF"/>
    <w:rsid w:val="009C2CB1"/>
    <w:rsid w:val="009C3376"/>
    <w:rsid w:val="009D30D1"/>
    <w:rsid w:val="009E0998"/>
    <w:rsid w:val="009E0DDB"/>
    <w:rsid w:val="009E24CA"/>
    <w:rsid w:val="009E2687"/>
    <w:rsid w:val="009E384D"/>
    <w:rsid w:val="009E5847"/>
    <w:rsid w:val="009E7111"/>
    <w:rsid w:val="009F3FA3"/>
    <w:rsid w:val="009F69AA"/>
    <w:rsid w:val="00A02932"/>
    <w:rsid w:val="00A04051"/>
    <w:rsid w:val="00A1776B"/>
    <w:rsid w:val="00A2078F"/>
    <w:rsid w:val="00A30669"/>
    <w:rsid w:val="00A350B8"/>
    <w:rsid w:val="00A367DA"/>
    <w:rsid w:val="00A4012F"/>
    <w:rsid w:val="00A40D8C"/>
    <w:rsid w:val="00A46C0F"/>
    <w:rsid w:val="00A6243F"/>
    <w:rsid w:val="00A6515C"/>
    <w:rsid w:val="00A659CB"/>
    <w:rsid w:val="00A811B6"/>
    <w:rsid w:val="00A8231F"/>
    <w:rsid w:val="00A86CF6"/>
    <w:rsid w:val="00A970FF"/>
    <w:rsid w:val="00AA0230"/>
    <w:rsid w:val="00AC1861"/>
    <w:rsid w:val="00AD22E7"/>
    <w:rsid w:val="00AE4708"/>
    <w:rsid w:val="00AE50B1"/>
    <w:rsid w:val="00AF0AA3"/>
    <w:rsid w:val="00B04261"/>
    <w:rsid w:val="00B04ADF"/>
    <w:rsid w:val="00B132A6"/>
    <w:rsid w:val="00B21CDB"/>
    <w:rsid w:val="00B32AD6"/>
    <w:rsid w:val="00B45F45"/>
    <w:rsid w:val="00B72641"/>
    <w:rsid w:val="00B736DD"/>
    <w:rsid w:val="00B7501D"/>
    <w:rsid w:val="00B80850"/>
    <w:rsid w:val="00B82269"/>
    <w:rsid w:val="00B86BC2"/>
    <w:rsid w:val="00B9036C"/>
    <w:rsid w:val="00B976F9"/>
    <w:rsid w:val="00BA7A2E"/>
    <w:rsid w:val="00BB39EA"/>
    <w:rsid w:val="00BB5DA8"/>
    <w:rsid w:val="00BB7557"/>
    <w:rsid w:val="00BC389C"/>
    <w:rsid w:val="00BD4391"/>
    <w:rsid w:val="00C0578A"/>
    <w:rsid w:val="00C11C6C"/>
    <w:rsid w:val="00C145AA"/>
    <w:rsid w:val="00C20913"/>
    <w:rsid w:val="00C42D6F"/>
    <w:rsid w:val="00C62F46"/>
    <w:rsid w:val="00C71518"/>
    <w:rsid w:val="00C77024"/>
    <w:rsid w:val="00C824E8"/>
    <w:rsid w:val="00CB73A6"/>
    <w:rsid w:val="00CB7599"/>
    <w:rsid w:val="00CC16EE"/>
    <w:rsid w:val="00CC1F3C"/>
    <w:rsid w:val="00CC3C63"/>
    <w:rsid w:val="00CD0043"/>
    <w:rsid w:val="00CD0FB6"/>
    <w:rsid w:val="00CD2A93"/>
    <w:rsid w:val="00CD5FCB"/>
    <w:rsid w:val="00CE5E31"/>
    <w:rsid w:val="00CE67B3"/>
    <w:rsid w:val="00D055C4"/>
    <w:rsid w:val="00D3076C"/>
    <w:rsid w:val="00D35D06"/>
    <w:rsid w:val="00D45506"/>
    <w:rsid w:val="00D53475"/>
    <w:rsid w:val="00D5513F"/>
    <w:rsid w:val="00D67C44"/>
    <w:rsid w:val="00D77BDA"/>
    <w:rsid w:val="00D82C05"/>
    <w:rsid w:val="00D933DB"/>
    <w:rsid w:val="00DD5318"/>
    <w:rsid w:val="00DE3BEA"/>
    <w:rsid w:val="00DE4D35"/>
    <w:rsid w:val="00DF18B0"/>
    <w:rsid w:val="00DF3913"/>
    <w:rsid w:val="00DF575A"/>
    <w:rsid w:val="00E05062"/>
    <w:rsid w:val="00E27A42"/>
    <w:rsid w:val="00E36368"/>
    <w:rsid w:val="00E40BFE"/>
    <w:rsid w:val="00E419A1"/>
    <w:rsid w:val="00E56F3C"/>
    <w:rsid w:val="00E61817"/>
    <w:rsid w:val="00E657ED"/>
    <w:rsid w:val="00E7234A"/>
    <w:rsid w:val="00E957FF"/>
    <w:rsid w:val="00EA4DB0"/>
    <w:rsid w:val="00EA655F"/>
    <w:rsid w:val="00EB618E"/>
    <w:rsid w:val="00EB656A"/>
    <w:rsid w:val="00EC5C92"/>
    <w:rsid w:val="00ED2B2B"/>
    <w:rsid w:val="00EE25B6"/>
    <w:rsid w:val="00EE50CE"/>
    <w:rsid w:val="00EF7603"/>
    <w:rsid w:val="00EF7624"/>
    <w:rsid w:val="00F07160"/>
    <w:rsid w:val="00F10DAF"/>
    <w:rsid w:val="00F177CB"/>
    <w:rsid w:val="00F30643"/>
    <w:rsid w:val="00F37557"/>
    <w:rsid w:val="00F41107"/>
    <w:rsid w:val="00F4523F"/>
    <w:rsid w:val="00F47081"/>
    <w:rsid w:val="00F51DF8"/>
    <w:rsid w:val="00F6136A"/>
    <w:rsid w:val="00F90114"/>
    <w:rsid w:val="00F936B3"/>
    <w:rsid w:val="00FA29C9"/>
    <w:rsid w:val="00FA3F3D"/>
    <w:rsid w:val="00FA7994"/>
    <w:rsid w:val="00FD0A6E"/>
    <w:rsid w:val="00FD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231F1F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332AC4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32AC4"/>
  </w:style>
  <w:style w:type="character" w:styleId="Referencafusnote">
    <w:name w:val="footnote reference"/>
    <w:basedOn w:val="Zadanifontodlomka"/>
    <w:uiPriority w:val="99"/>
    <w:semiHidden/>
    <w:unhideWhenUsed/>
    <w:rsid w:val="00332A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E51C-102E-4166-9CE1-29B8DE0B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2023-06-08T07:11:00Z</dcterms:created>
  <dcterms:modified xsi:type="dcterms:W3CDTF">2023-06-08T07:14:00Z</dcterms:modified>
</cp:coreProperties>
</file>